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tblW w:w="10884" w:type="dxa"/>
        <w:tblBorders>
          <w:bottom w:val="single" w:sz="4" w:space="0" w:color="auto"/>
        </w:tblBorders>
        <w:tblLayout w:type="fixed"/>
        <w:tblLook w:val="0000"/>
      </w:tblPr>
      <w:tblGrid>
        <w:gridCol w:w="3805"/>
        <w:gridCol w:w="2423"/>
        <w:gridCol w:w="4656"/>
      </w:tblGrid>
      <w:tr w:rsidR="001A4733" w:rsidRPr="004B0B05" w:rsidTr="00D670B5">
        <w:trPr>
          <w:trHeight w:hRule="exact" w:val="1707"/>
        </w:trPr>
        <w:tc>
          <w:tcPr>
            <w:tcW w:w="3805" w:type="dxa"/>
          </w:tcPr>
          <w:p w:rsidR="001A4733" w:rsidRDefault="001A4733" w:rsidP="00D670B5">
            <w:pPr>
              <w:pStyle w:val="NoSpacing"/>
              <w:ind w:left="0"/>
              <w:rPr>
                <w:color w:val="000000"/>
                <w:sz w:val="16"/>
                <w:szCs w:val="16"/>
              </w:rPr>
            </w:pPr>
            <w:r>
              <w:rPr>
                <w:color w:val="000000"/>
                <w:sz w:val="16"/>
                <w:szCs w:val="16"/>
              </w:rPr>
              <w:t>O</w:t>
            </w:r>
            <w:r w:rsidRPr="00636E5F">
              <w:rPr>
                <w:color w:val="000000"/>
                <w:sz w:val="16"/>
                <w:szCs w:val="16"/>
              </w:rPr>
              <w:t xml:space="preserve">ffice of </w:t>
            </w:r>
            <w:r w:rsidRPr="00636E5F">
              <w:rPr>
                <w:color w:val="000000"/>
                <w:sz w:val="16"/>
                <w:szCs w:val="16"/>
              </w:rPr>
              <w:tab/>
            </w:r>
          </w:p>
          <w:p w:rsidR="001A4733" w:rsidRPr="00FF4FF0" w:rsidRDefault="001A4733" w:rsidP="00D670B5">
            <w:pPr>
              <w:pStyle w:val="NoSpacing"/>
              <w:ind w:left="0"/>
              <w:rPr>
                <w:color w:val="000000"/>
                <w:sz w:val="16"/>
                <w:szCs w:val="16"/>
              </w:rPr>
            </w:pPr>
            <w:r w:rsidRPr="00636E5F">
              <w:rPr>
                <w:bCs/>
                <w:color w:val="000000"/>
                <w:sz w:val="16"/>
                <w:szCs w:val="16"/>
              </w:rPr>
              <w:t xml:space="preserve">Chief General Manager(Telecom)     Marketing Cell, </w:t>
            </w:r>
          </w:p>
          <w:p w:rsidR="001A4733" w:rsidRDefault="001A4733" w:rsidP="00D670B5">
            <w:pPr>
              <w:pStyle w:val="NoSpacing"/>
              <w:ind w:left="0"/>
              <w:rPr>
                <w:bCs/>
                <w:color w:val="000000"/>
                <w:sz w:val="16"/>
                <w:szCs w:val="16"/>
              </w:rPr>
            </w:pPr>
            <w:proofErr w:type="spellStart"/>
            <w:r w:rsidRPr="00636E5F">
              <w:rPr>
                <w:bCs/>
                <w:color w:val="000000"/>
                <w:sz w:val="16"/>
                <w:szCs w:val="16"/>
              </w:rPr>
              <w:t>Tamilnadu</w:t>
            </w:r>
            <w:proofErr w:type="spellEnd"/>
            <w:r w:rsidRPr="004B0B05">
              <w:rPr>
                <w:bCs/>
                <w:color w:val="000000"/>
                <w:sz w:val="19"/>
                <w:szCs w:val="19"/>
              </w:rPr>
              <w:t xml:space="preserve"> </w:t>
            </w:r>
            <w:r w:rsidRPr="00636E5F">
              <w:rPr>
                <w:bCs/>
                <w:color w:val="000000"/>
                <w:sz w:val="16"/>
                <w:szCs w:val="16"/>
              </w:rPr>
              <w:t>Telecom Circ</w:t>
            </w:r>
            <w:r>
              <w:rPr>
                <w:bCs/>
                <w:color w:val="000000"/>
                <w:sz w:val="16"/>
                <w:szCs w:val="16"/>
              </w:rPr>
              <w:t xml:space="preserve">le </w:t>
            </w:r>
            <w:r w:rsidRPr="00636E5F">
              <w:rPr>
                <w:bCs/>
                <w:color w:val="000000"/>
                <w:sz w:val="16"/>
                <w:szCs w:val="16"/>
              </w:rPr>
              <w:t xml:space="preserve">   </w:t>
            </w:r>
          </w:p>
          <w:p w:rsidR="001A4733" w:rsidRDefault="001A4733" w:rsidP="00D670B5">
            <w:pPr>
              <w:pStyle w:val="NoSpacing"/>
              <w:ind w:left="0"/>
              <w:rPr>
                <w:bCs/>
                <w:color w:val="000000"/>
                <w:sz w:val="16"/>
                <w:szCs w:val="16"/>
              </w:rPr>
            </w:pPr>
            <w:r>
              <w:rPr>
                <w:bCs/>
                <w:color w:val="000000"/>
                <w:sz w:val="16"/>
                <w:szCs w:val="16"/>
              </w:rPr>
              <w:t>New AD</w:t>
            </w:r>
            <w:r w:rsidRPr="00636E5F">
              <w:rPr>
                <w:bCs/>
                <w:color w:val="000000"/>
                <w:sz w:val="16"/>
                <w:szCs w:val="16"/>
              </w:rPr>
              <w:t xml:space="preserve"> Building 16,Greams road</w:t>
            </w:r>
          </w:p>
          <w:p w:rsidR="001A4733" w:rsidRPr="00636E5F" w:rsidRDefault="001A4733" w:rsidP="00D670B5">
            <w:pPr>
              <w:pStyle w:val="NoSpacing"/>
              <w:ind w:left="0"/>
              <w:rPr>
                <w:bCs/>
                <w:color w:val="000000"/>
                <w:sz w:val="16"/>
                <w:szCs w:val="16"/>
              </w:rPr>
            </w:pPr>
            <w:r w:rsidRPr="00636E5F">
              <w:rPr>
                <w:bCs/>
                <w:color w:val="000000"/>
                <w:sz w:val="16"/>
                <w:szCs w:val="16"/>
              </w:rPr>
              <w:t>Chennai-600 006</w:t>
            </w:r>
            <w:r w:rsidRPr="004B0B05">
              <w:rPr>
                <w:bCs/>
                <w:color w:val="000000"/>
                <w:sz w:val="19"/>
                <w:szCs w:val="19"/>
              </w:rPr>
              <w:tab/>
            </w:r>
          </w:p>
        </w:tc>
        <w:tc>
          <w:tcPr>
            <w:tcW w:w="2423" w:type="dxa"/>
          </w:tcPr>
          <w:p w:rsidR="001A4733" w:rsidRPr="004B0B05" w:rsidRDefault="001A4733" w:rsidP="00D670B5">
            <w:pPr>
              <w:pStyle w:val="NoSpacing"/>
              <w:rPr>
                <w:rFonts w:ascii="Kruti Dev 010" w:hAnsi="Kruti Dev 010"/>
                <w:color w:val="000000"/>
                <w:sz w:val="44"/>
                <w:szCs w:val="44"/>
              </w:rPr>
            </w:pPr>
            <w:r>
              <w:rPr>
                <w:noProof/>
                <w:color w:val="000000"/>
                <w:lang w:val="en-IN" w:eastAsia="en-IN" w:bidi="hi-IN"/>
              </w:rPr>
              <w:drawing>
                <wp:inline distT="0" distB="0" distL="0" distR="0">
                  <wp:extent cx="962406" cy="1030224"/>
                  <wp:effectExtent l="19050" t="0" r="9144"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69880" cy="1038225"/>
                          </a:xfrm>
                          <a:prstGeom prst="rect">
                            <a:avLst/>
                          </a:prstGeom>
                          <a:noFill/>
                          <a:ln w="9525">
                            <a:noFill/>
                            <a:miter lim="800000"/>
                            <a:headEnd/>
                            <a:tailEnd/>
                          </a:ln>
                        </pic:spPr>
                      </pic:pic>
                    </a:graphicData>
                  </a:graphic>
                </wp:inline>
              </w:drawing>
            </w:r>
          </w:p>
          <w:p w:rsidR="001A4733" w:rsidRPr="004B0B05" w:rsidRDefault="001A4733" w:rsidP="00D670B5">
            <w:pPr>
              <w:pStyle w:val="NoSpacing"/>
              <w:rPr>
                <w:rFonts w:ascii="Kruti Dev 010" w:hAnsi="Kruti Dev 010"/>
                <w:color w:val="000000"/>
                <w:sz w:val="44"/>
              </w:rPr>
            </w:pPr>
          </w:p>
          <w:p w:rsidR="001A4733" w:rsidRPr="004B0B05" w:rsidRDefault="001A4733" w:rsidP="00D670B5">
            <w:pPr>
              <w:pStyle w:val="NoSpacing"/>
              <w:rPr>
                <w:rFonts w:ascii="Kruti Dev 010" w:hAnsi="Kruti Dev 010"/>
                <w:color w:val="000000"/>
                <w:sz w:val="44"/>
              </w:rPr>
            </w:pPr>
          </w:p>
        </w:tc>
        <w:tc>
          <w:tcPr>
            <w:tcW w:w="4656" w:type="dxa"/>
          </w:tcPr>
          <w:p w:rsidR="001A4733" w:rsidRDefault="001A4733" w:rsidP="00D670B5">
            <w:pPr>
              <w:pStyle w:val="NoSpacing"/>
              <w:ind w:left="0"/>
              <w:rPr>
                <w:color w:val="000000"/>
                <w:sz w:val="16"/>
                <w:szCs w:val="16"/>
              </w:rPr>
            </w:pPr>
          </w:p>
          <w:p w:rsidR="001A4733" w:rsidRPr="00636E5F" w:rsidRDefault="001A4733" w:rsidP="00D670B5">
            <w:pPr>
              <w:pStyle w:val="NoSpacing"/>
              <w:ind w:left="0"/>
              <w:rPr>
                <w:color w:val="000000"/>
                <w:sz w:val="16"/>
                <w:szCs w:val="16"/>
              </w:rPr>
            </w:pPr>
            <w:r>
              <w:rPr>
                <w:color w:val="000000"/>
                <w:sz w:val="16"/>
                <w:szCs w:val="16"/>
              </w:rPr>
              <w:t xml:space="preserve">            </w:t>
            </w:r>
            <w:r w:rsidRPr="00636E5F">
              <w:rPr>
                <w:color w:val="000000"/>
                <w:sz w:val="16"/>
                <w:szCs w:val="16"/>
              </w:rPr>
              <w:t>BHARAT SANCHAR NIGAM LIMITED</w:t>
            </w:r>
          </w:p>
          <w:p w:rsidR="001A4733" w:rsidRPr="00636E5F" w:rsidRDefault="001A4733" w:rsidP="00D670B5">
            <w:pPr>
              <w:pStyle w:val="NoSpacing"/>
              <w:rPr>
                <w:bCs/>
                <w:color w:val="000000"/>
                <w:sz w:val="16"/>
                <w:szCs w:val="16"/>
              </w:rPr>
            </w:pPr>
            <w:r w:rsidRPr="00636E5F">
              <w:rPr>
                <w:bCs/>
                <w:color w:val="000000"/>
                <w:sz w:val="16"/>
                <w:szCs w:val="16"/>
              </w:rPr>
              <w:t>(A Government of India Enterprise)</w:t>
            </w:r>
          </w:p>
          <w:p w:rsidR="001A4733" w:rsidRPr="004B0B05" w:rsidRDefault="001A4733" w:rsidP="00D670B5">
            <w:pPr>
              <w:pStyle w:val="NoSpacing"/>
              <w:rPr>
                <w:color w:val="000000"/>
              </w:rPr>
            </w:pPr>
            <w:r>
              <w:rPr>
                <w:noProof/>
                <w:color w:val="000000"/>
                <w:sz w:val="18"/>
                <w:lang w:val="en-IN" w:eastAsia="en-IN" w:bidi="hi-IN"/>
              </w:rPr>
              <w:drawing>
                <wp:inline distT="0" distB="0" distL="0" distR="0">
                  <wp:extent cx="2076450" cy="352425"/>
                  <wp:effectExtent l="19050" t="0" r="0" b="0"/>
                  <wp:docPr id="4"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cstate="print"/>
                          <a:srcRect/>
                          <a:stretch>
                            <a:fillRect/>
                          </a:stretch>
                        </pic:blipFill>
                        <pic:spPr bwMode="auto">
                          <a:xfrm>
                            <a:off x="0" y="0"/>
                            <a:ext cx="2076450" cy="352425"/>
                          </a:xfrm>
                          <a:prstGeom prst="rect">
                            <a:avLst/>
                          </a:prstGeom>
                          <a:noFill/>
                          <a:ln w="9525">
                            <a:noFill/>
                            <a:miter lim="800000"/>
                            <a:headEnd/>
                            <a:tailEnd/>
                          </a:ln>
                        </pic:spPr>
                      </pic:pic>
                    </a:graphicData>
                  </a:graphic>
                </wp:inline>
              </w:drawing>
            </w:r>
          </w:p>
          <w:p w:rsidR="001A4733" w:rsidRPr="004B0B05" w:rsidRDefault="001A4733" w:rsidP="00D670B5">
            <w:pPr>
              <w:pStyle w:val="NoSpacing"/>
              <w:rPr>
                <w:color w:val="000000"/>
              </w:rPr>
            </w:pPr>
          </w:p>
        </w:tc>
      </w:tr>
    </w:tbl>
    <w:p w:rsidR="00197803" w:rsidRPr="005945E5" w:rsidRDefault="00197803" w:rsidP="00197803">
      <w:pPr>
        <w:pStyle w:val="NoSpacing"/>
        <w:spacing w:line="240" w:lineRule="auto"/>
        <w:ind w:left="0" w:right="-90"/>
        <w:rPr>
          <w:b/>
          <w:sz w:val="20"/>
          <w:szCs w:val="20"/>
          <w:u w:val="single"/>
        </w:rPr>
      </w:pPr>
      <w:proofErr w:type="spellStart"/>
      <w:proofErr w:type="gramStart"/>
      <w:r w:rsidRPr="005945E5">
        <w:rPr>
          <w:sz w:val="20"/>
          <w:szCs w:val="20"/>
          <w:u w:val="single"/>
        </w:rPr>
        <w:t>Endt</w:t>
      </w:r>
      <w:proofErr w:type="spellEnd"/>
      <w:r w:rsidRPr="005945E5">
        <w:rPr>
          <w:sz w:val="20"/>
          <w:szCs w:val="20"/>
          <w:u w:val="single"/>
        </w:rPr>
        <w:t xml:space="preserve"> No.</w:t>
      </w:r>
      <w:proofErr w:type="gramEnd"/>
      <w:r w:rsidRPr="005945E5">
        <w:rPr>
          <w:sz w:val="20"/>
          <w:szCs w:val="20"/>
          <w:u w:val="single"/>
        </w:rPr>
        <w:t xml:space="preserve"> CS-CFA-/ Tariff Circular/ 2014-15/ </w:t>
      </w:r>
      <w:r>
        <w:rPr>
          <w:sz w:val="20"/>
          <w:szCs w:val="20"/>
          <w:u w:val="single"/>
        </w:rPr>
        <w:t xml:space="preserve"> </w:t>
      </w:r>
      <w:r w:rsidRPr="005945E5">
        <w:rPr>
          <w:sz w:val="20"/>
          <w:szCs w:val="20"/>
          <w:u w:val="single"/>
        </w:rPr>
        <w:t xml:space="preserve">     dated at Ch- 6 the    </w:t>
      </w:r>
      <w:r>
        <w:rPr>
          <w:sz w:val="20"/>
          <w:szCs w:val="20"/>
          <w:u w:val="single"/>
        </w:rPr>
        <w:t>20/12/</w:t>
      </w:r>
      <w:r w:rsidRPr="005945E5">
        <w:rPr>
          <w:sz w:val="20"/>
          <w:szCs w:val="20"/>
          <w:u w:val="single"/>
        </w:rPr>
        <w:t>2014</w:t>
      </w:r>
    </w:p>
    <w:p w:rsidR="00197803" w:rsidRPr="005945E5" w:rsidRDefault="00197803" w:rsidP="00197803">
      <w:pPr>
        <w:pStyle w:val="NoSpacing"/>
        <w:spacing w:line="240" w:lineRule="auto"/>
        <w:rPr>
          <w:sz w:val="20"/>
          <w:szCs w:val="20"/>
        </w:rPr>
      </w:pPr>
    </w:p>
    <w:p w:rsidR="00197803" w:rsidRPr="005945E5" w:rsidRDefault="00197803" w:rsidP="00197803">
      <w:pPr>
        <w:pStyle w:val="NoSpacing"/>
        <w:spacing w:line="240" w:lineRule="auto"/>
        <w:ind w:left="0"/>
        <w:rPr>
          <w:sz w:val="20"/>
          <w:szCs w:val="20"/>
        </w:rPr>
      </w:pPr>
      <w:r w:rsidRPr="005945E5">
        <w:rPr>
          <w:sz w:val="20"/>
          <w:szCs w:val="20"/>
        </w:rPr>
        <w:t>To</w:t>
      </w:r>
    </w:p>
    <w:p w:rsidR="00197803" w:rsidRPr="005945E5" w:rsidRDefault="00197803" w:rsidP="00197803">
      <w:pPr>
        <w:spacing w:after="0" w:line="240" w:lineRule="auto"/>
        <w:rPr>
          <w:rFonts w:ascii="Verdana" w:hAnsi="Verdana"/>
          <w:sz w:val="20"/>
          <w:szCs w:val="20"/>
        </w:rPr>
      </w:pPr>
      <w:r w:rsidRPr="005945E5">
        <w:rPr>
          <w:rFonts w:ascii="Verdana" w:hAnsi="Verdana"/>
          <w:sz w:val="20"/>
          <w:szCs w:val="20"/>
        </w:rPr>
        <w:t xml:space="preserve"> All Heads of SSAs</w:t>
      </w:r>
    </w:p>
    <w:p w:rsidR="00197803" w:rsidRPr="005945E5" w:rsidRDefault="00197803" w:rsidP="00197803">
      <w:pPr>
        <w:spacing w:after="0" w:line="240" w:lineRule="auto"/>
        <w:rPr>
          <w:rFonts w:ascii="Verdana" w:hAnsi="Verdana"/>
          <w:sz w:val="20"/>
          <w:szCs w:val="20"/>
        </w:rPr>
      </w:pPr>
      <w:proofErr w:type="spellStart"/>
      <w:r w:rsidRPr="005945E5">
        <w:rPr>
          <w:rFonts w:ascii="Verdana" w:hAnsi="Verdana"/>
          <w:sz w:val="20"/>
          <w:szCs w:val="20"/>
        </w:rPr>
        <w:t>Tamilnadu</w:t>
      </w:r>
      <w:proofErr w:type="spellEnd"/>
      <w:r w:rsidRPr="005945E5">
        <w:rPr>
          <w:rFonts w:ascii="Verdana" w:hAnsi="Verdana"/>
          <w:sz w:val="20"/>
          <w:szCs w:val="20"/>
        </w:rPr>
        <w:t xml:space="preserve"> Circle. </w:t>
      </w:r>
    </w:p>
    <w:p w:rsidR="00197803" w:rsidRPr="005945E5" w:rsidRDefault="00197803" w:rsidP="00197803">
      <w:pPr>
        <w:spacing w:after="0" w:line="240" w:lineRule="auto"/>
        <w:rPr>
          <w:rFonts w:ascii="Verdana" w:hAnsi="Verdana"/>
          <w:sz w:val="20"/>
          <w:szCs w:val="20"/>
        </w:rPr>
      </w:pPr>
    </w:p>
    <w:p w:rsidR="00197803" w:rsidRDefault="00197803" w:rsidP="00197803">
      <w:pPr>
        <w:pStyle w:val="Default"/>
        <w:rPr>
          <w:rFonts w:ascii="Verdana" w:hAnsi="Verdana"/>
          <w:sz w:val="20"/>
          <w:szCs w:val="20"/>
        </w:rPr>
      </w:pPr>
      <w:r w:rsidRPr="005945E5">
        <w:rPr>
          <w:rFonts w:ascii="Verdana" w:hAnsi="Verdana"/>
          <w:sz w:val="20"/>
          <w:szCs w:val="20"/>
        </w:rPr>
        <w:t>Sub</w:t>
      </w:r>
      <w:r>
        <w:rPr>
          <w:rFonts w:ascii="Verdana" w:hAnsi="Verdana"/>
          <w:sz w:val="20"/>
          <w:szCs w:val="20"/>
        </w:rPr>
        <w:t>: Implementation of “Speed Restoration Plans to restore the speed to the normal when the speed is downgraded due to crossing of the usage as per the FUP under unlimited BB Plans on FTTH -reg.</w:t>
      </w:r>
    </w:p>
    <w:p w:rsidR="00197803" w:rsidRPr="00943F23" w:rsidRDefault="00197803" w:rsidP="00197803">
      <w:pPr>
        <w:pStyle w:val="Default"/>
        <w:rPr>
          <w:rFonts w:ascii="Verdana" w:hAnsi="Verdana"/>
          <w:sz w:val="20"/>
          <w:szCs w:val="20"/>
        </w:rPr>
      </w:pPr>
    </w:p>
    <w:p w:rsidR="00197803" w:rsidRPr="005945E5" w:rsidRDefault="00197803" w:rsidP="00197803">
      <w:pPr>
        <w:spacing w:after="0" w:line="240" w:lineRule="auto"/>
        <w:rPr>
          <w:rFonts w:ascii="Verdana" w:hAnsi="Verdana"/>
          <w:sz w:val="20"/>
          <w:szCs w:val="20"/>
        </w:rPr>
      </w:pPr>
      <w:r w:rsidRPr="005945E5">
        <w:rPr>
          <w:rFonts w:ascii="Verdana" w:hAnsi="Verdana"/>
          <w:sz w:val="20"/>
          <w:szCs w:val="20"/>
        </w:rPr>
        <w:t xml:space="preserve">Ref:  CO letter </w:t>
      </w:r>
      <w:r>
        <w:rPr>
          <w:rFonts w:ascii="Verdana" w:hAnsi="Verdana"/>
          <w:sz w:val="20"/>
          <w:szCs w:val="20"/>
        </w:rPr>
        <w:t>1-1/2014/R&amp;</w:t>
      </w:r>
      <w:proofErr w:type="gramStart"/>
      <w:r>
        <w:rPr>
          <w:rFonts w:ascii="Verdana" w:hAnsi="Verdana"/>
          <w:sz w:val="20"/>
          <w:szCs w:val="20"/>
        </w:rPr>
        <w:t>C(</w:t>
      </w:r>
      <w:proofErr w:type="gramEnd"/>
      <w:r>
        <w:rPr>
          <w:rFonts w:ascii="Verdana" w:hAnsi="Verdana"/>
          <w:sz w:val="20"/>
          <w:szCs w:val="20"/>
        </w:rPr>
        <w:t xml:space="preserve">CFA) circular 79/14-15 dated 12/15-12-14 </w:t>
      </w:r>
    </w:p>
    <w:p w:rsidR="00197803" w:rsidRPr="005945E5" w:rsidRDefault="00197803" w:rsidP="00197803">
      <w:pPr>
        <w:spacing w:after="0" w:line="240" w:lineRule="auto"/>
        <w:rPr>
          <w:rFonts w:ascii="Verdana" w:hAnsi="Verdana"/>
          <w:sz w:val="20"/>
          <w:szCs w:val="20"/>
        </w:rPr>
      </w:pPr>
    </w:p>
    <w:p w:rsidR="00197803" w:rsidRDefault="00197803" w:rsidP="00197803">
      <w:pPr>
        <w:pStyle w:val="Default"/>
        <w:jc w:val="both"/>
        <w:rPr>
          <w:rFonts w:ascii="Verdana" w:hAnsi="Verdana"/>
          <w:sz w:val="20"/>
          <w:szCs w:val="20"/>
        </w:rPr>
      </w:pPr>
    </w:p>
    <w:p w:rsidR="00197803" w:rsidRDefault="00197803" w:rsidP="00197803">
      <w:pPr>
        <w:pStyle w:val="Default"/>
        <w:jc w:val="both"/>
        <w:rPr>
          <w:rFonts w:ascii="Verdana" w:hAnsi="Verdana"/>
          <w:sz w:val="20"/>
          <w:szCs w:val="20"/>
        </w:rPr>
      </w:pPr>
      <w:r>
        <w:rPr>
          <w:rFonts w:ascii="Verdana" w:hAnsi="Verdana"/>
          <w:sz w:val="20"/>
          <w:szCs w:val="20"/>
        </w:rPr>
        <w:t xml:space="preserve">Corporate office vide above circular under reference  intimating about the implementation of Speed Restoration ADD ON plans on FTTH also in line with ADSL BB plans (available for ADSL and FTTH both) to restore the original higher speed for the Unlimited FUP BB plans  </w:t>
      </w:r>
      <w:r w:rsidRPr="00DA7D7C">
        <w:rPr>
          <w:rFonts w:ascii="Verdana" w:hAnsi="Verdana"/>
          <w:b/>
          <w:sz w:val="20"/>
          <w:szCs w:val="20"/>
        </w:rPr>
        <w:t>with immediate effect</w:t>
      </w:r>
      <w:r>
        <w:rPr>
          <w:rFonts w:ascii="Verdana" w:hAnsi="Verdana"/>
          <w:sz w:val="20"/>
          <w:szCs w:val="20"/>
        </w:rPr>
        <w:t xml:space="preserve"> as follows:</w:t>
      </w:r>
    </w:p>
    <w:p w:rsidR="00197803" w:rsidRDefault="00197803" w:rsidP="00197803">
      <w:pPr>
        <w:pStyle w:val="Default"/>
        <w:jc w:val="both"/>
        <w:rPr>
          <w:rFonts w:ascii="Verdana" w:hAnsi="Verdana"/>
          <w:sz w:val="20"/>
          <w:szCs w:val="20"/>
        </w:rPr>
      </w:pPr>
    </w:p>
    <w:tbl>
      <w:tblPr>
        <w:tblStyle w:val="TableGrid"/>
        <w:tblW w:w="0" w:type="auto"/>
        <w:tblLook w:val="04A0"/>
      </w:tblPr>
      <w:tblGrid>
        <w:gridCol w:w="3192"/>
        <w:gridCol w:w="3192"/>
        <w:gridCol w:w="3192"/>
      </w:tblGrid>
      <w:tr w:rsidR="00197803" w:rsidTr="00F37E19">
        <w:tc>
          <w:tcPr>
            <w:tcW w:w="3192" w:type="dxa"/>
          </w:tcPr>
          <w:p w:rsidR="00197803" w:rsidRDefault="00197803" w:rsidP="00F37E19">
            <w:pPr>
              <w:pStyle w:val="Default"/>
              <w:jc w:val="both"/>
              <w:rPr>
                <w:rFonts w:ascii="Verdana" w:hAnsi="Verdana"/>
                <w:sz w:val="20"/>
                <w:szCs w:val="20"/>
              </w:rPr>
            </w:pPr>
            <w:r>
              <w:rPr>
                <w:rFonts w:ascii="Verdana" w:hAnsi="Verdana"/>
                <w:sz w:val="20"/>
                <w:szCs w:val="20"/>
              </w:rPr>
              <w:t>Speed restoration add-on Plan Name(available on ADSL and FTTH both)</w:t>
            </w:r>
          </w:p>
        </w:tc>
        <w:tc>
          <w:tcPr>
            <w:tcW w:w="3192" w:type="dxa"/>
          </w:tcPr>
          <w:p w:rsidR="00197803" w:rsidRDefault="00197803" w:rsidP="00F37E19">
            <w:pPr>
              <w:pStyle w:val="Default"/>
              <w:jc w:val="both"/>
              <w:rPr>
                <w:rFonts w:ascii="Verdana" w:hAnsi="Verdana"/>
                <w:sz w:val="20"/>
                <w:szCs w:val="20"/>
              </w:rPr>
            </w:pPr>
            <w:r>
              <w:rPr>
                <w:rFonts w:ascii="Verdana" w:hAnsi="Verdana"/>
                <w:sz w:val="20"/>
                <w:szCs w:val="20"/>
              </w:rPr>
              <w:t xml:space="preserve">Restoration of original higher speed for the data usage </w:t>
            </w:r>
            <w:proofErr w:type="spellStart"/>
            <w:r>
              <w:rPr>
                <w:rFonts w:ascii="Verdana" w:hAnsi="Verdana"/>
                <w:sz w:val="20"/>
                <w:szCs w:val="20"/>
              </w:rPr>
              <w:t>upto</w:t>
            </w:r>
            <w:proofErr w:type="spellEnd"/>
            <w:r>
              <w:rPr>
                <w:rFonts w:ascii="Verdana" w:hAnsi="Verdana"/>
                <w:sz w:val="20"/>
                <w:szCs w:val="20"/>
              </w:rPr>
              <w:t xml:space="preserve"> </w:t>
            </w:r>
          </w:p>
        </w:tc>
        <w:tc>
          <w:tcPr>
            <w:tcW w:w="3192" w:type="dxa"/>
          </w:tcPr>
          <w:p w:rsidR="00197803" w:rsidRDefault="00197803" w:rsidP="00F37E19">
            <w:pPr>
              <w:pStyle w:val="Default"/>
              <w:jc w:val="both"/>
              <w:rPr>
                <w:rFonts w:ascii="Verdana" w:hAnsi="Verdana"/>
                <w:sz w:val="20"/>
                <w:szCs w:val="20"/>
              </w:rPr>
            </w:pPr>
            <w:r>
              <w:rPr>
                <w:rFonts w:ascii="Verdana" w:hAnsi="Verdana"/>
                <w:sz w:val="20"/>
                <w:szCs w:val="20"/>
              </w:rPr>
              <w:t>Speed restoration plan charges in Rs (Excluding service tax)</w:t>
            </w:r>
          </w:p>
        </w:tc>
      </w:tr>
      <w:tr w:rsidR="00197803" w:rsidTr="00F37E19">
        <w:tc>
          <w:tcPr>
            <w:tcW w:w="3192" w:type="dxa"/>
          </w:tcPr>
          <w:p w:rsidR="00197803" w:rsidRDefault="00197803" w:rsidP="00F37E19">
            <w:pPr>
              <w:pStyle w:val="Default"/>
              <w:jc w:val="both"/>
              <w:rPr>
                <w:rFonts w:ascii="Verdana" w:hAnsi="Verdana"/>
                <w:sz w:val="20"/>
                <w:szCs w:val="20"/>
              </w:rPr>
            </w:pPr>
            <w:r>
              <w:rPr>
                <w:rFonts w:ascii="Verdana" w:hAnsi="Verdana"/>
                <w:sz w:val="20"/>
                <w:szCs w:val="20"/>
              </w:rPr>
              <w:t>Speed restoration-2GB plan</w:t>
            </w:r>
          </w:p>
        </w:tc>
        <w:tc>
          <w:tcPr>
            <w:tcW w:w="3192" w:type="dxa"/>
          </w:tcPr>
          <w:p w:rsidR="00197803" w:rsidRDefault="00197803" w:rsidP="00F37E19">
            <w:pPr>
              <w:pStyle w:val="Default"/>
              <w:jc w:val="center"/>
              <w:rPr>
                <w:rFonts w:ascii="Verdana" w:hAnsi="Verdana"/>
                <w:sz w:val="20"/>
                <w:szCs w:val="20"/>
              </w:rPr>
            </w:pPr>
            <w:r>
              <w:rPr>
                <w:rFonts w:ascii="Verdana" w:hAnsi="Verdana"/>
                <w:sz w:val="20"/>
                <w:szCs w:val="20"/>
              </w:rPr>
              <w:t>2 GB</w:t>
            </w:r>
          </w:p>
        </w:tc>
        <w:tc>
          <w:tcPr>
            <w:tcW w:w="3192" w:type="dxa"/>
          </w:tcPr>
          <w:p w:rsidR="00197803" w:rsidRDefault="00197803" w:rsidP="00F37E19">
            <w:pPr>
              <w:pStyle w:val="Default"/>
              <w:jc w:val="center"/>
              <w:rPr>
                <w:rFonts w:ascii="Verdana" w:hAnsi="Verdana"/>
                <w:sz w:val="20"/>
                <w:szCs w:val="20"/>
              </w:rPr>
            </w:pPr>
            <w:r>
              <w:rPr>
                <w:rFonts w:ascii="Verdana" w:hAnsi="Verdana"/>
                <w:sz w:val="20"/>
                <w:szCs w:val="20"/>
              </w:rPr>
              <w:t>100</w:t>
            </w:r>
          </w:p>
        </w:tc>
      </w:tr>
      <w:tr w:rsidR="00197803" w:rsidTr="00F37E19">
        <w:tc>
          <w:tcPr>
            <w:tcW w:w="3192" w:type="dxa"/>
          </w:tcPr>
          <w:p w:rsidR="00197803" w:rsidRDefault="00197803" w:rsidP="00F37E19">
            <w:pPr>
              <w:pStyle w:val="Default"/>
              <w:jc w:val="both"/>
              <w:rPr>
                <w:rFonts w:ascii="Verdana" w:hAnsi="Verdana"/>
                <w:sz w:val="20"/>
                <w:szCs w:val="20"/>
              </w:rPr>
            </w:pPr>
            <w:r>
              <w:rPr>
                <w:rFonts w:ascii="Verdana" w:hAnsi="Verdana"/>
                <w:sz w:val="20"/>
                <w:szCs w:val="20"/>
              </w:rPr>
              <w:t>Speed restoration-5GB plan</w:t>
            </w:r>
          </w:p>
        </w:tc>
        <w:tc>
          <w:tcPr>
            <w:tcW w:w="3192" w:type="dxa"/>
          </w:tcPr>
          <w:p w:rsidR="00197803" w:rsidRDefault="00197803" w:rsidP="00F37E19">
            <w:pPr>
              <w:pStyle w:val="Default"/>
              <w:jc w:val="center"/>
              <w:rPr>
                <w:rFonts w:ascii="Verdana" w:hAnsi="Verdana"/>
                <w:sz w:val="20"/>
                <w:szCs w:val="20"/>
              </w:rPr>
            </w:pPr>
            <w:r>
              <w:rPr>
                <w:rFonts w:ascii="Verdana" w:hAnsi="Verdana"/>
                <w:sz w:val="20"/>
                <w:szCs w:val="20"/>
              </w:rPr>
              <w:t>5 GB</w:t>
            </w:r>
          </w:p>
        </w:tc>
        <w:tc>
          <w:tcPr>
            <w:tcW w:w="3192" w:type="dxa"/>
          </w:tcPr>
          <w:p w:rsidR="00197803" w:rsidRDefault="00197803" w:rsidP="00F37E19">
            <w:pPr>
              <w:pStyle w:val="Default"/>
              <w:jc w:val="center"/>
              <w:rPr>
                <w:rFonts w:ascii="Verdana" w:hAnsi="Verdana"/>
                <w:sz w:val="20"/>
                <w:szCs w:val="20"/>
              </w:rPr>
            </w:pPr>
            <w:r>
              <w:rPr>
                <w:rFonts w:ascii="Verdana" w:hAnsi="Verdana"/>
                <w:sz w:val="20"/>
                <w:szCs w:val="20"/>
              </w:rPr>
              <w:t>200</w:t>
            </w:r>
          </w:p>
        </w:tc>
      </w:tr>
      <w:tr w:rsidR="00197803" w:rsidTr="00F37E19">
        <w:tc>
          <w:tcPr>
            <w:tcW w:w="3192" w:type="dxa"/>
          </w:tcPr>
          <w:p w:rsidR="00197803" w:rsidRDefault="00197803" w:rsidP="00F37E19">
            <w:pPr>
              <w:pStyle w:val="Default"/>
              <w:jc w:val="both"/>
              <w:rPr>
                <w:rFonts w:ascii="Verdana" w:hAnsi="Verdana"/>
                <w:sz w:val="20"/>
                <w:szCs w:val="20"/>
              </w:rPr>
            </w:pPr>
            <w:r>
              <w:rPr>
                <w:rFonts w:ascii="Verdana" w:hAnsi="Verdana"/>
                <w:sz w:val="20"/>
                <w:szCs w:val="20"/>
              </w:rPr>
              <w:t>Speed restoration-10GB plan</w:t>
            </w:r>
          </w:p>
        </w:tc>
        <w:tc>
          <w:tcPr>
            <w:tcW w:w="3192" w:type="dxa"/>
          </w:tcPr>
          <w:p w:rsidR="00197803" w:rsidRDefault="00197803" w:rsidP="00F37E19">
            <w:pPr>
              <w:pStyle w:val="Default"/>
              <w:jc w:val="center"/>
              <w:rPr>
                <w:rFonts w:ascii="Verdana" w:hAnsi="Verdana"/>
                <w:sz w:val="20"/>
                <w:szCs w:val="20"/>
              </w:rPr>
            </w:pPr>
            <w:r>
              <w:rPr>
                <w:rFonts w:ascii="Verdana" w:hAnsi="Verdana"/>
                <w:sz w:val="20"/>
                <w:szCs w:val="20"/>
              </w:rPr>
              <w:t>10 GB</w:t>
            </w:r>
          </w:p>
        </w:tc>
        <w:tc>
          <w:tcPr>
            <w:tcW w:w="3192" w:type="dxa"/>
          </w:tcPr>
          <w:p w:rsidR="00197803" w:rsidRDefault="00197803" w:rsidP="00F37E19">
            <w:pPr>
              <w:pStyle w:val="Default"/>
              <w:jc w:val="center"/>
              <w:rPr>
                <w:rFonts w:ascii="Verdana" w:hAnsi="Verdana"/>
                <w:sz w:val="20"/>
                <w:szCs w:val="20"/>
              </w:rPr>
            </w:pPr>
            <w:r>
              <w:rPr>
                <w:rFonts w:ascii="Verdana" w:hAnsi="Verdana"/>
                <w:sz w:val="20"/>
                <w:szCs w:val="20"/>
              </w:rPr>
              <w:t>300</w:t>
            </w:r>
          </w:p>
        </w:tc>
      </w:tr>
      <w:tr w:rsidR="00197803" w:rsidTr="00F37E19">
        <w:tc>
          <w:tcPr>
            <w:tcW w:w="3192" w:type="dxa"/>
          </w:tcPr>
          <w:p w:rsidR="00197803" w:rsidRDefault="00197803" w:rsidP="00F37E19">
            <w:pPr>
              <w:pStyle w:val="Default"/>
              <w:jc w:val="both"/>
              <w:rPr>
                <w:rFonts w:ascii="Verdana" w:hAnsi="Verdana"/>
                <w:sz w:val="20"/>
                <w:szCs w:val="20"/>
              </w:rPr>
            </w:pPr>
            <w:r>
              <w:rPr>
                <w:rFonts w:ascii="Verdana" w:hAnsi="Verdana"/>
                <w:sz w:val="20"/>
                <w:szCs w:val="20"/>
              </w:rPr>
              <w:t>Speed restoration-20GB plan</w:t>
            </w:r>
          </w:p>
        </w:tc>
        <w:tc>
          <w:tcPr>
            <w:tcW w:w="3192" w:type="dxa"/>
          </w:tcPr>
          <w:p w:rsidR="00197803" w:rsidRDefault="00197803" w:rsidP="00F37E19">
            <w:pPr>
              <w:pStyle w:val="Default"/>
              <w:jc w:val="center"/>
              <w:rPr>
                <w:rFonts w:ascii="Verdana" w:hAnsi="Verdana"/>
                <w:sz w:val="20"/>
                <w:szCs w:val="20"/>
              </w:rPr>
            </w:pPr>
            <w:r>
              <w:rPr>
                <w:rFonts w:ascii="Verdana" w:hAnsi="Verdana"/>
                <w:sz w:val="20"/>
                <w:szCs w:val="20"/>
              </w:rPr>
              <w:t>20 GB</w:t>
            </w:r>
          </w:p>
        </w:tc>
        <w:tc>
          <w:tcPr>
            <w:tcW w:w="3192" w:type="dxa"/>
          </w:tcPr>
          <w:p w:rsidR="00197803" w:rsidRDefault="00197803" w:rsidP="00F37E19">
            <w:pPr>
              <w:pStyle w:val="Default"/>
              <w:jc w:val="center"/>
              <w:rPr>
                <w:rFonts w:ascii="Verdana" w:hAnsi="Verdana"/>
                <w:sz w:val="20"/>
                <w:szCs w:val="20"/>
              </w:rPr>
            </w:pPr>
            <w:r>
              <w:rPr>
                <w:rFonts w:ascii="Verdana" w:hAnsi="Verdana"/>
                <w:sz w:val="20"/>
                <w:szCs w:val="20"/>
              </w:rPr>
              <w:t>500</w:t>
            </w:r>
          </w:p>
        </w:tc>
      </w:tr>
    </w:tbl>
    <w:p w:rsidR="00197803" w:rsidRDefault="00197803" w:rsidP="00197803">
      <w:pPr>
        <w:pStyle w:val="Default"/>
        <w:jc w:val="both"/>
        <w:rPr>
          <w:rFonts w:ascii="Verdana" w:hAnsi="Verdana"/>
          <w:sz w:val="20"/>
          <w:szCs w:val="20"/>
        </w:rPr>
      </w:pPr>
    </w:p>
    <w:p w:rsidR="00197803" w:rsidRDefault="00197803" w:rsidP="00197803">
      <w:pPr>
        <w:pStyle w:val="Default"/>
        <w:jc w:val="both"/>
        <w:rPr>
          <w:rFonts w:ascii="Verdana" w:hAnsi="Verdana"/>
          <w:sz w:val="20"/>
          <w:szCs w:val="20"/>
        </w:rPr>
      </w:pPr>
      <w:r>
        <w:rPr>
          <w:rFonts w:ascii="Verdana" w:hAnsi="Verdana"/>
          <w:sz w:val="20"/>
          <w:szCs w:val="20"/>
        </w:rPr>
        <w:t xml:space="preserve">The above speed restoration plan will expire after exhausting the data usage as mentioned above or on completion of billing cycle, whichever is earlier. </w:t>
      </w:r>
    </w:p>
    <w:p w:rsidR="00197803" w:rsidRDefault="00197803" w:rsidP="00197803">
      <w:pPr>
        <w:pStyle w:val="Default"/>
        <w:jc w:val="both"/>
        <w:rPr>
          <w:rFonts w:ascii="Verdana" w:hAnsi="Verdana"/>
          <w:sz w:val="20"/>
          <w:szCs w:val="20"/>
        </w:rPr>
      </w:pPr>
    </w:p>
    <w:p w:rsidR="00197803" w:rsidRDefault="00197803" w:rsidP="00197803">
      <w:pPr>
        <w:pStyle w:val="Default"/>
        <w:jc w:val="both"/>
        <w:rPr>
          <w:rFonts w:ascii="Verdana" w:hAnsi="Verdana"/>
          <w:sz w:val="20"/>
          <w:szCs w:val="20"/>
        </w:rPr>
      </w:pPr>
      <w:r w:rsidRPr="005945E5">
        <w:rPr>
          <w:rFonts w:ascii="Verdana" w:hAnsi="Verdana"/>
          <w:sz w:val="20"/>
          <w:szCs w:val="20"/>
        </w:rPr>
        <w:t>A copy of the above circular is enclosed herewith.</w:t>
      </w:r>
      <w:r>
        <w:rPr>
          <w:rFonts w:ascii="Verdana" w:hAnsi="Verdana"/>
          <w:sz w:val="20"/>
          <w:szCs w:val="20"/>
        </w:rPr>
        <w:t xml:space="preserve"> </w:t>
      </w:r>
    </w:p>
    <w:p w:rsidR="00197803" w:rsidRPr="005945E5" w:rsidRDefault="00197803" w:rsidP="00197803">
      <w:pPr>
        <w:pStyle w:val="Default"/>
        <w:jc w:val="both"/>
        <w:rPr>
          <w:rFonts w:ascii="Verdana" w:hAnsi="Verdana"/>
          <w:sz w:val="20"/>
          <w:szCs w:val="20"/>
        </w:rPr>
      </w:pPr>
      <w:r>
        <w:rPr>
          <w:rFonts w:ascii="Verdana" w:hAnsi="Verdana"/>
          <w:sz w:val="20"/>
          <w:szCs w:val="20"/>
        </w:rPr>
        <w:t xml:space="preserve">Wide publicity may be given.  </w:t>
      </w:r>
    </w:p>
    <w:p w:rsidR="00197803" w:rsidRPr="005945E5" w:rsidRDefault="00197803" w:rsidP="00197803">
      <w:pPr>
        <w:spacing w:after="0" w:line="240" w:lineRule="auto"/>
        <w:jc w:val="both"/>
        <w:rPr>
          <w:rFonts w:ascii="Verdana" w:hAnsi="Verdana"/>
          <w:sz w:val="20"/>
          <w:szCs w:val="20"/>
        </w:rPr>
      </w:pPr>
      <w:r w:rsidRPr="005945E5">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sidRPr="00197803">
        <w:rPr>
          <w:rFonts w:ascii="Verdana" w:hAnsi="Verdana"/>
          <w:sz w:val="20"/>
          <w:szCs w:val="20"/>
          <w:highlight w:val="yellow"/>
        </w:rPr>
        <w:t>(</w:t>
      </w:r>
      <w:proofErr w:type="spellStart"/>
      <w:proofErr w:type="gramStart"/>
      <w:r w:rsidRPr="00197803">
        <w:rPr>
          <w:rFonts w:ascii="Verdana" w:hAnsi="Verdana"/>
          <w:sz w:val="20"/>
          <w:szCs w:val="20"/>
          <w:highlight w:val="yellow"/>
        </w:rPr>
        <w:t>sd</w:t>
      </w:r>
      <w:proofErr w:type="spellEnd"/>
      <w:proofErr w:type="gramEnd"/>
      <w:r w:rsidRPr="00197803">
        <w:rPr>
          <w:rFonts w:ascii="Verdana" w:hAnsi="Verdana"/>
          <w:sz w:val="20"/>
          <w:szCs w:val="20"/>
          <w:highlight w:val="yellow"/>
        </w:rPr>
        <w:t>)</w:t>
      </w:r>
    </w:p>
    <w:p w:rsidR="00197803" w:rsidRPr="005945E5" w:rsidRDefault="00197803" w:rsidP="00197803">
      <w:pPr>
        <w:spacing w:after="0" w:line="240" w:lineRule="auto"/>
        <w:jc w:val="right"/>
        <w:rPr>
          <w:rFonts w:ascii="Verdana" w:hAnsi="Verdana"/>
          <w:sz w:val="20"/>
          <w:szCs w:val="20"/>
        </w:rPr>
      </w:pPr>
      <w:r w:rsidRPr="005945E5">
        <w:rPr>
          <w:rFonts w:ascii="Verdana" w:hAnsi="Verdana"/>
          <w:sz w:val="20"/>
          <w:szCs w:val="20"/>
        </w:rPr>
        <w:t>Deputy General Manager (S&amp;M CFA),</w:t>
      </w:r>
    </w:p>
    <w:p w:rsidR="00197803" w:rsidRPr="005945E5" w:rsidRDefault="00197803" w:rsidP="00197803">
      <w:pPr>
        <w:spacing w:after="0" w:line="240" w:lineRule="auto"/>
        <w:jc w:val="right"/>
        <w:rPr>
          <w:rFonts w:ascii="Verdana" w:hAnsi="Verdana"/>
          <w:sz w:val="20"/>
          <w:szCs w:val="20"/>
        </w:rPr>
      </w:pPr>
      <w:r w:rsidRPr="005945E5">
        <w:rPr>
          <w:rFonts w:ascii="Verdana" w:hAnsi="Verdana"/>
          <w:sz w:val="20"/>
          <w:szCs w:val="20"/>
        </w:rPr>
        <w:t xml:space="preserve">O/o </w:t>
      </w:r>
      <w:proofErr w:type="gramStart"/>
      <w:r w:rsidRPr="005945E5">
        <w:rPr>
          <w:rFonts w:ascii="Verdana" w:hAnsi="Verdana"/>
          <w:sz w:val="20"/>
          <w:szCs w:val="20"/>
        </w:rPr>
        <w:t>The</w:t>
      </w:r>
      <w:proofErr w:type="gramEnd"/>
      <w:r w:rsidRPr="005945E5">
        <w:rPr>
          <w:rFonts w:ascii="Verdana" w:hAnsi="Verdana"/>
          <w:sz w:val="20"/>
          <w:szCs w:val="20"/>
        </w:rPr>
        <w:t xml:space="preserve"> General Manager (S&amp;M-CFA),</w:t>
      </w:r>
    </w:p>
    <w:p w:rsidR="00197803" w:rsidRPr="005945E5" w:rsidRDefault="00197803" w:rsidP="00197803">
      <w:pPr>
        <w:spacing w:after="0" w:line="240" w:lineRule="auto"/>
        <w:jc w:val="right"/>
        <w:rPr>
          <w:rFonts w:ascii="Verdana" w:hAnsi="Verdana"/>
          <w:sz w:val="20"/>
          <w:szCs w:val="20"/>
        </w:rPr>
      </w:pPr>
      <w:r w:rsidRPr="005945E5">
        <w:rPr>
          <w:rFonts w:ascii="Verdana" w:hAnsi="Verdana"/>
          <w:sz w:val="20"/>
          <w:szCs w:val="20"/>
        </w:rPr>
        <w:t xml:space="preserve">BSNL, </w:t>
      </w:r>
      <w:proofErr w:type="spellStart"/>
      <w:r w:rsidRPr="005945E5">
        <w:rPr>
          <w:rFonts w:ascii="Verdana" w:hAnsi="Verdana"/>
          <w:sz w:val="20"/>
          <w:szCs w:val="20"/>
        </w:rPr>
        <w:t>Tamilnadu</w:t>
      </w:r>
      <w:proofErr w:type="spellEnd"/>
      <w:r w:rsidRPr="005945E5">
        <w:rPr>
          <w:rFonts w:ascii="Verdana" w:hAnsi="Verdana"/>
          <w:sz w:val="20"/>
          <w:szCs w:val="20"/>
        </w:rPr>
        <w:t xml:space="preserve"> Circle,</w:t>
      </w:r>
    </w:p>
    <w:p w:rsidR="00197803" w:rsidRPr="005945E5" w:rsidRDefault="00197803" w:rsidP="00197803">
      <w:pPr>
        <w:spacing w:after="0" w:line="240" w:lineRule="auto"/>
        <w:jc w:val="right"/>
        <w:rPr>
          <w:rFonts w:ascii="Verdana" w:hAnsi="Verdana"/>
          <w:sz w:val="20"/>
          <w:szCs w:val="20"/>
          <w:u w:val="single"/>
        </w:rPr>
      </w:pPr>
      <w:r w:rsidRPr="005945E5">
        <w:rPr>
          <w:rFonts w:ascii="Verdana" w:hAnsi="Verdana"/>
          <w:sz w:val="20"/>
          <w:szCs w:val="20"/>
        </w:rPr>
        <w:t xml:space="preserve">Chennai-6   </w:t>
      </w:r>
    </w:p>
    <w:p w:rsidR="00197803" w:rsidRPr="005945E5" w:rsidRDefault="00197803" w:rsidP="00197803">
      <w:pPr>
        <w:tabs>
          <w:tab w:val="left" w:pos="7125"/>
        </w:tabs>
        <w:spacing w:after="0" w:line="240" w:lineRule="auto"/>
        <w:ind w:hanging="720"/>
        <w:rPr>
          <w:rFonts w:ascii="Verdana" w:hAnsi="Verdana"/>
          <w:sz w:val="20"/>
          <w:szCs w:val="20"/>
        </w:rPr>
      </w:pPr>
      <w:r w:rsidRPr="005945E5">
        <w:rPr>
          <w:rFonts w:ascii="Verdana" w:hAnsi="Verdana"/>
          <w:sz w:val="20"/>
          <w:szCs w:val="20"/>
          <w:u w:val="single"/>
        </w:rPr>
        <w:t xml:space="preserve">Copy to: </w:t>
      </w:r>
    </w:p>
    <w:p w:rsidR="00197803" w:rsidRPr="005945E5" w:rsidRDefault="00197803" w:rsidP="00197803">
      <w:pPr>
        <w:pStyle w:val="ListParagraph"/>
        <w:tabs>
          <w:tab w:val="left" w:pos="7125"/>
        </w:tabs>
        <w:ind w:left="90"/>
        <w:jc w:val="both"/>
        <w:rPr>
          <w:rFonts w:ascii="Verdana" w:hAnsi="Verdana"/>
          <w:sz w:val="20"/>
          <w:szCs w:val="20"/>
        </w:rPr>
      </w:pPr>
      <w:r w:rsidRPr="005945E5">
        <w:rPr>
          <w:rFonts w:ascii="Verdana" w:hAnsi="Verdana"/>
          <w:sz w:val="20"/>
          <w:szCs w:val="20"/>
        </w:rPr>
        <w:t>1. Sr. General Manager (TR), O/o CGM BSNL, TN Circle, Chennai-600 006.</w:t>
      </w:r>
    </w:p>
    <w:p w:rsidR="00197803" w:rsidRPr="005945E5" w:rsidRDefault="00197803" w:rsidP="00197803">
      <w:pPr>
        <w:tabs>
          <w:tab w:val="left" w:pos="7125"/>
        </w:tabs>
        <w:spacing w:after="0" w:line="240" w:lineRule="auto"/>
        <w:ind w:left="90" w:right="-180"/>
        <w:jc w:val="both"/>
        <w:rPr>
          <w:rFonts w:ascii="Verdana" w:hAnsi="Verdana"/>
          <w:sz w:val="20"/>
          <w:szCs w:val="20"/>
        </w:rPr>
      </w:pPr>
      <w:r>
        <w:rPr>
          <w:rFonts w:ascii="Verdana" w:hAnsi="Verdana"/>
          <w:sz w:val="20"/>
          <w:szCs w:val="20"/>
        </w:rPr>
        <w:t xml:space="preserve">2. The Dy.GM (TR) </w:t>
      </w:r>
      <w:r w:rsidRPr="005945E5">
        <w:rPr>
          <w:rFonts w:ascii="Verdana" w:hAnsi="Verdana"/>
          <w:sz w:val="20"/>
          <w:szCs w:val="20"/>
        </w:rPr>
        <w:t>O/o CGM BSNL, TN Circle, Chennai-600 006.</w:t>
      </w:r>
    </w:p>
    <w:p w:rsidR="00197803" w:rsidRPr="005945E5" w:rsidRDefault="00197803" w:rsidP="00197803">
      <w:pPr>
        <w:tabs>
          <w:tab w:val="left" w:pos="7125"/>
        </w:tabs>
        <w:spacing w:after="0" w:line="240" w:lineRule="auto"/>
        <w:ind w:left="90" w:right="-180"/>
        <w:jc w:val="both"/>
        <w:rPr>
          <w:rFonts w:ascii="Verdana" w:hAnsi="Verdana"/>
          <w:sz w:val="20"/>
          <w:szCs w:val="20"/>
        </w:rPr>
      </w:pPr>
      <w:r w:rsidRPr="005945E5">
        <w:rPr>
          <w:rFonts w:ascii="Verdana" w:hAnsi="Verdana"/>
          <w:sz w:val="20"/>
          <w:szCs w:val="20"/>
        </w:rPr>
        <w:t>3. The Dy. General Manager ( IT), O/o CGM BSNL, TN Circle, Chennai-600 006.</w:t>
      </w:r>
    </w:p>
    <w:p w:rsidR="00197803" w:rsidRPr="005945E5" w:rsidRDefault="00197803" w:rsidP="00197803">
      <w:pPr>
        <w:pStyle w:val="ListParagraph"/>
        <w:tabs>
          <w:tab w:val="left" w:pos="360"/>
          <w:tab w:val="left" w:pos="7125"/>
        </w:tabs>
        <w:ind w:left="90"/>
        <w:jc w:val="both"/>
        <w:rPr>
          <w:rFonts w:ascii="Verdana" w:hAnsi="Verdana"/>
          <w:sz w:val="20"/>
          <w:szCs w:val="20"/>
        </w:rPr>
      </w:pPr>
      <w:r w:rsidRPr="005945E5">
        <w:rPr>
          <w:rFonts w:ascii="Verdana" w:hAnsi="Verdana"/>
          <w:sz w:val="20"/>
          <w:szCs w:val="20"/>
        </w:rPr>
        <w:t>4. AGM (MKTG-CFA)/ AGM (</w:t>
      </w:r>
      <w:proofErr w:type="spellStart"/>
      <w:r w:rsidRPr="005945E5">
        <w:rPr>
          <w:rFonts w:ascii="Verdana" w:hAnsi="Verdana"/>
          <w:sz w:val="20"/>
          <w:szCs w:val="20"/>
        </w:rPr>
        <w:t>Udaan</w:t>
      </w:r>
      <w:proofErr w:type="spellEnd"/>
      <w:r w:rsidRPr="005945E5">
        <w:rPr>
          <w:rFonts w:ascii="Verdana" w:hAnsi="Verdana"/>
          <w:sz w:val="20"/>
          <w:szCs w:val="20"/>
        </w:rPr>
        <w:t xml:space="preserve">), GM S&amp; M (CFA), 16, </w:t>
      </w:r>
      <w:proofErr w:type="spellStart"/>
      <w:r w:rsidRPr="005945E5">
        <w:rPr>
          <w:rFonts w:ascii="Verdana" w:hAnsi="Verdana"/>
          <w:sz w:val="20"/>
          <w:szCs w:val="20"/>
        </w:rPr>
        <w:t>Greams</w:t>
      </w:r>
      <w:proofErr w:type="spellEnd"/>
      <w:r w:rsidRPr="005945E5">
        <w:rPr>
          <w:rFonts w:ascii="Verdana" w:hAnsi="Verdana"/>
          <w:sz w:val="20"/>
          <w:szCs w:val="20"/>
        </w:rPr>
        <w:t xml:space="preserve"> Road, Chennai-6.</w:t>
      </w:r>
    </w:p>
    <w:p w:rsidR="00197803" w:rsidRPr="005945E5" w:rsidRDefault="00197803" w:rsidP="00197803">
      <w:pPr>
        <w:pStyle w:val="ListParagraph"/>
        <w:tabs>
          <w:tab w:val="left" w:pos="7125"/>
        </w:tabs>
        <w:ind w:left="90"/>
        <w:jc w:val="both"/>
        <w:rPr>
          <w:rFonts w:ascii="Verdana" w:hAnsi="Verdana"/>
          <w:sz w:val="20"/>
          <w:szCs w:val="20"/>
        </w:rPr>
      </w:pPr>
      <w:r w:rsidRPr="005945E5">
        <w:rPr>
          <w:rFonts w:ascii="Verdana" w:hAnsi="Verdana"/>
          <w:sz w:val="20"/>
          <w:szCs w:val="20"/>
        </w:rPr>
        <w:t>5. AGM (CSC), O/o GM S&amp; M (CM), 3</w:t>
      </w:r>
      <w:r w:rsidRPr="005945E5">
        <w:rPr>
          <w:rFonts w:ascii="Verdana" w:hAnsi="Verdana"/>
          <w:sz w:val="20"/>
          <w:szCs w:val="20"/>
          <w:vertAlign w:val="superscript"/>
        </w:rPr>
        <w:t>rd</w:t>
      </w:r>
      <w:r w:rsidRPr="005945E5">
        <w:rPr>
          <w:rFonts w:ascii="Verdana" w:hAnsi="Verdana"/>
          <w:sz w:val="20"/>
          <w:szCs w:val="20"/>
        </w:rPr>
        <w:t xml:space="preserve"> Floor, 16, </w:t>
      </w:r>
      <w:proofErr w:type="spellStart"/>
      <w:r w:rsidRPr="005945E5">
        <w:rPr>
          <w:rFonts w:ascii="Verdana" w:hAnsi="Verdana"/>
          <w:sz w:val="20"/>
          <w:szCs w:val="20"/>
        </w:rPr>
        <w:t>Greams</w:t>
      </w:r>
      <w:proofErr w:type="spellEnd"/>
      <w:r w:rsidRPr="005945E5">
        <w:rPr>
          <w:rFonts w:ascii="Verdana" w:hAnsi="Verdana"/>
          <w:sz w:val="20"/>
          <w:szCs w:val="20"/>
        </w:rPr>
        <w:t xml:space="preserve"> Road, Chennai-600 006.</w:t>
      </w:r>
    </w:p>
    <w:p w:rsidR="00197803" w:rsidRPr="005945E5" w:rsidRDefault="00197803" w:rsidP="00197803">
      <w:pPr>
        <w:pStyle w:val="ListParagraph"/>
        <w:tabs>
          <w:tab w:val="left" w:pos="7125"/>
        </w:tabs>
        <w:ind w:left="90"/>
        <w:jc w:val="both"/>
        <w:rPr>
          <w:rFonts w:ascii="Verdana" w:hAnsi="Verdana"/>
          <w:sz w:val="20"/>
          <w:szCs w:val="20"/>
        </w:rPr>
      </w:pPr>
      <w:r w:rsidRPr="005945E5">
        <w:rPr>
          <w:rFonts w:ascii="Verdana" w:hAnsi="Verdana"/>
          <w:sz w:val="20"/>
          <w:szCs w:val="20"/>
        </w:rPr>
        <w:t xml:space="preserve">6. AGM (BB), O/o the GM (Dev), No.60, </w:t>
      </w:r>
      <w:proofErr w:type="spellStart"/>
      <w:r w:rsidRPr="005945E5">
        <w:rPr>
          <w:rFonts w:ascii="Verdana" w:hAnsi="Verdana"/>
          <w:sz w:val="20"/>
          <w:szCs w:val="20"/>
        </w:rPr>
        <w:t>Ethiraj</w:t>
      </w:r>
      <w:proofErr w:type="spellEnd"/>
      <w:r w:rsidRPr="005945E5">
        <w:rPr>
          <w:rFonts w:ascii="Verdana" w:hAnsi="Verdana"/>
          <w:sz w:val="20"/>
          <w:szCs w:val="20"/>
        </w:rPr>
        <w:t xml:space="preserve"> </w:t>
      </w:r>
      <w:proofErr w:type="spellStart"/>
      <w:r w:rsidRPr="005945E5">
        <w:rPr>
          <w:rFonts w:ascii="Verdana" w:hAnsi="Verdana"/>
          <w:sz w:val="20"/>
          <w:szCs w:val="20"/>
        </w:rPr>
        <w:t>Salai</w:t>
      </w:r>
      <w:proofErr w:type="spellEnd"/>
      <w:r w:rsidRPr="005945E5">
        <w:rPr>
          <w:rFonts w:ascii="Verdana" w:hAnsi="Verdana"/>
          <w:sz w:val="20"/>
          <w:szCs w:val="20"/>
        </w:rPr>
        <w:t>, Chennai-600 008.</w:t>
      </w:r>
    </w:p>
    <w:p w:rsidR="00197803" w:rsidRPr="005945E5" w:rsidRDefault="00197803" w:rsidP="00197803">
      <w:pPr>
        <w:pStyle w:val="ListParagraph"/>
        <w:tabs>
          <w:tab w:val="left" w:pos="7125"/>
        </w:tabs>
        <w:ind w:left="90"/>
        <w:jc w:val="both"/>
        <w:rPr>
          <w:rFonts w:ascii="Verdana" w:hAnsi="Verdana"/>
          <w:sz w:val="20"/>
          <w:szCs w:val="20"/>
        </w:rPr>
      </w:pPr>
      <w:r w:rsidRPr="005945E5">
        <w:rPr>
          <w:rFonts w:ascii="Verdana" w:hAnsi="Verdana"/>
          <w:sz w:val="20"/>
          <w:szCs w:val="20"/>
        </w:rPr>
        <w:t>7. Circle Intranet. 8. Spare.</w:t>
      </w:r>
    </w:p>
    <w:p w:rsidR="00197803" w:rsidRPr="00856099" w:rsidRDefault="00197803" w:rsidP="00197803">
      <w:pPr>
        <w:spacing w:after="0" w:line="240" w:lineRule="auto"/>
        <w:jc w:val="both"/>
        <w:rPr>
          <w:rFonts w:ascii="Book Antiqua" w:hAnsi="Book Antiqua"/>
        </w:rPr>
      </w:pPr>
    </w:p>
    <w:p w:rsidR="00FB4F28" w:rsidRDefault="00FB4F28" w:rsidP="00197803">
      <w:pPr>
        <w:pStyle w:val="NoSpacing"/>
        <w:ind w:left="0"/>
      </w:pPr>
    </w:p>
    <w:p w:rsidR="00451657" w:rsidRDefault="00451657" w:rsidP="00197803">
      <w:pPr>
        <w:pStyle w:val="NoSpacing"/>
        <w:ind w:left="0"/>
      </w:pPr>
    </w:p>
    <w:p w:rsidR="00451657" w:rsidRDefault="00451657" w:rsidP="00197803">
      <w:pPr>
        <w:pStyle w:val="NoSpacing"/>
        <w:ind w:left="0"/>
      </w:pPr>
    </w:p>
    <w:p w:rsidR="00451657" w:rsidRDefault="00451657" w:rsidP="00197803">
      <w:pPr>
        <w:pStyle w:val="NoSpacing"/>
        <w:ind w:left="0"/>
      </w:pPr>
      <w:r>
        <w:rPr>
          <w:noProof/>
          <w:lang w:val="en-IN" w:eastAsia="en-IN" w:bidi="hi-IN"/>
        </w:rPr>
        <w:lastRenderedPageBreak/>
        <w:drawing>
          <wp:inline distT="0" distB="0" distL="0" distR="0">
            <wp:extent cx="5943600" cy="81189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943600" cy="8118995"/>
                    </a:xfrm>
                    <a:prstGeom prst="rect">
                      <a:avLst/>
                    </a:prstGeom>
                    <a:noFill/>
                    <a:ln w="9525">
                      <a:noFill/>
                      <a:miter lim="800000"/>
                      <a:headEnd/>
                      <a:tailEnd/>
                    </a:ln>
                  </pic:spPr>
                </pic:pic>
              </a:graphicData>
            </a:graphic>
          </wp:inline>
        </w:drawing>
      </w:r>
    </w:p>
    <w:sectPr w:rsidR="00451657" w:rsidSect="008C69D2">
      <w:pgSz w:w="12240" w:h="15840"/>
      <w:pgMar w:top="1440" w:right="1440" w:bottom="1440"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ruti Dev 01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1A4733"/>
    <w:rsid w:val="00197803"/>
    <w:rsid w:val="001A4733"/>
    <w:rsid w:val="003137A3"/>
    <w:rsid w:val="00451657"/>
    <w:rsid w:val="0058046D"/>
    <w:rsid w:val="006020AE"/>
    <w:rsid w:val="00615318"/>
    <w:rsid w:val="00640D1E"/>
    <w:rsid w:val="00654394"/>
    <w:rsid w:val="008C69D2"/>
    <w:rsid w:val="00AC72F6"/>
    <w:rsid w:val="00B93E8D"/>
    <w:rsid w:val="00DE1BBD"/>
    <w:rsid w:val="00EE5164"/>
    <w:rsid w:val="00FB4F2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3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A4733"/>
    <w:pPr>
      <w:spacing w:line="360" w:lineRule="auto"/>
      <w:ind w:left="720" w:right="720"/>
      <w:jc w:val="both"/>
    </w:pPr>
    <w:rPr>
      <w:rFonts w:ascii="Verdana" w:eastAsia="Times New Roman" w:hAnsi="Verdana" w:cs="Times New Roman"/>
    </w:rPr>
  </w:style>
  <w:style w:type="character" w:styleId="Hyperlink">
    <w:name w:val="Hyperlink"/>
    <w:basedOn w:val="DefaultParagraphFont"/>
    <w:uiPriority w:val="99"/>
    <w:unhideWhenUsed/>
    <w:rsid w:val="001A4733"/>
    <w:rPr>
      <w:color w:val="0000FF" w:themeColor="hyperlink"/>
      <w:u w:val="single"/>
    </w:rPr>
  </w:style>
  <w:style w:type="paragraph" w:styleId="BalloonText">
    <w:name w:val="Balloon Text"/>
    <w:basedOn w:val="Normal"/>
    <w:link w:val="BalloonTextChar"/>
    <w:uiPriority w:val="99"/>
    <w:semiHidden/>
    <w:unhideWhenUsed/>
    <w:rsid w:val="001A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733"/>
    <w:rPr>
      <w:rFonts w:ascii="Tahoma" w:eastAsia="Times New Roman" w:hAnsi="Tahoma" w:cs="Tahoma"/>
      <w:sz w:val="16"/>
      <w:szCs w:val="16"/>
    </w:rPr>
  </w:style>
  <w:style w:type="paragraph" w:styleId="ListParagraph">
    <w:name w:val="List Paragraph"/>
    <w:basedOn w:val="Normal"/>
    <w:uiPriority w:val="99"/>
    <w:qFormat/>
    <w:rsid w:val="00197803"/>
    <w:pPr>
      <w:spacing w:after="0" w:line="240" w:lineRule="auto"/>
      <w:ind w:left="720"/>
      <w:contextualSpacing/>
    </w:pPr>
    <w:rPr>
      <w:rFonts w:ascii="Times New Roman" w:hAnsi="Times New Roman"/>
      <w:sz w:val="24"/>
      <w:szCs w:val="24"/>
    </w:rPr>
  </w:style>
  <w:style w:type="paragraph" w:customStyle="1" w:styleId="Default">
    <w:name w:val="Default"/>
    <w:rsid w:val="00197803"/>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197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Admin</cp:lastModifiedBy>
  <cp:revision>2</cp:revision>
  <dcterms:created xsi:type="dcterms:W3CDTF">2014-12-22T10:48:00Z</dcterms:created>
  <dcterms:modified xsi:type="dcterms:W3CDTF">2014-12-22T10:48:00Z</dcterms:modified>
</cp:coreProperties>
</file>